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AE" w:rsidRPr="009845EB" w:rsidRDefault="00B852AE" w:rsidP="00DA1936"/>
    <w:p w:rsidR="009706DD" w:rsidRPr="009845EB" w:rsidRDefault="009706DD" w:rsidP="00DA1936"/>
    <w:p w:rsidR="009706DD" w:rsidRPr="009845EB" w:rsidRDefault="009706DD" w:rsidP="00DA1936"/>
    <w:p w:rsidR="009706DD" w:rsidRPr="009845EB" w:rsidRDefault="009706DD" w:rsidP="00DA1936"/>
    <w:p w:rsidR="009706DD" w:rsidRPr="009845EB" w:rsidRDefault="009706DD" w:rsidP="00DA1936"/>
    <w:p w:rsidR="007F4EA5" w:rsidRPr="009845EB" w:rsidRDefault="007F4EA5" w:rsidP="00DA1936"/>
    <w:p w:rsidR="007F4EA5" w:rsidRPr="009256C3" w:rsidRDefault="007F4EA5" w:rsidP="00DA1936">
      <w:pPr>
        <w:rPr>
          <w:b/>
          <w:sz w:val="32"/>
          <w:szCs w:val="32"/>
          <w:u w:val="single"/>
        </w:rPr>
      </w:pPr>
      <w:r w:rsidRPr="009256C3">
        <w:rPr>
          <w:b/>
          <w:sz w:val="32"/>
          <w:szCs w:val="32"/>
          <w:u w:val="single"/>
        </w:rPr>
        <w:t>Official Training</w:t>
      </w:r>
    </w:p>
    <w:p w:rsidR="007F4EA5" w:rsidRPr="009845EB" w:rsidRDefault="007F4EA5" w:rsidP="00DA1936"/>
    <w:p w:rsidR="00DE5048" w:rsidRPr="009256C3" w:rsidRDefault="00F86016" w:rsidP="00DA1936">
      <w:pPr>
        <w:rPr>
          <w:b/>
          <w:sz w:val="24"/>
          <w:szCs w:val="24"/>
        </w:rPr>
      </w:pPr>
      <w:r w:rsidRPr="009256C3">
        <w:rPr>
          <w:b/>
          <w:sz w:val="24"/>
          <w:szCs w:val="24"/>
        </w:rPr>
        <w:t xml:space="preserve">Development of </w:t>
      </w:r>
      <w:r w:rsidR="002E6661" w:rsidRPr="009256C3">
        <w:rPr>
          <w:b/>
          <w:sz w:val="24"/>
          <w:szCs w:val="24"/>
        </w:rPr>
        <w:t>Training Schedule</w:t>
      </w:r>
    </w:p>
    <w:p w:rsidR="005E70A5" w:rsidRPr="009845EB" w:rsidRDefault="005E70A5" w:rsidP="00DA1936">
      <w:r w:rsidRPr="009845EB">
        <w:t xml:space="preserve">All official training is to be provided to each competing NF </w:t>
      </w:r>
      <w:r w:rsidR="00AA1B59">
        <w:t xml:space="preserve">free of </w:t>
      </w:r>
      <w:r w:rsidRPr="009845EB">
        <w:t>charge.</w:t>
      </w:r>
    </w:p>
    <w:p w:rsidR="005E70A5" w:rsidRPr="009845EB" w:rsidRDefault="005E70A5" w:rsidP="00DA1936"/>
    <w:p w:rsidR="00514F1B" w:rsidRPr="009845EB" w:rsidRDefault="00514F1B" w:rsidP="00DA1936">
      <w:r w:rsidRPr="009845EB">
        <w:t>The development of an appropriate Training Schedule must incorporate and consider the following matters.</w:t>
      </w:r>
      <w:r w:rsidR="005E70A5" w:rsidRPr="009845EB">
        <w:t xml:space="preserve"> </w:t>
      </w:r>
    </w:p>
    <w:p w:rsidR="00514F1B" w:rsidRPr="009845EB" w:rsidRDefault="00514F1B" w:rsidP="00DA1936"/>
    <w:p w:rsidR="005E70A5" w:rsidRPr="009845EB" w:rsidRDefault="00007D80" w:rsidP="00DA1936">
      <w:r w:rsidRPr="009845EB">
        <w:t>The Training S</w:t>
      </w:r>
      <w:r w:rsidR="00514F1B" w:rsidRPr="009845EB">
        <w:t>chedule for the Compet</w:t>
      </w:r>
      <w:r w:rsidR="00CD5857" w:rsidRPr="009845EB">
        <w:t>ition should at least</w:t>
      </w:r>
      <w:r w:rsidR="00514F1B" w:rsidRPr="009845EB">
        <w:t>:</w:t>
      </w:r>
    </w:p>
    <w:p w:rsidR="00514F1B" w:rsidRPr="009845EB" w:rsidRDefault="00514F1B" w:rsidP="00DA1936"/>
    <w:p w:rsidR="00514F1B" w:rsidRPr="00DA1936" w:rsidRDefault="009845EB" w:rsidP="009256C3">
      <w:pPr>
        <w:pStyle w:val="ListParagraph"/>
        <w:numPr>
          <w:ilvl w:val="0"/>
          <w:numId w:val="6"/>
        </w:numPr>
      </w:pPr>
      <w:r w:rsidRPr="009845EB">
        <w:t>For World Championship Competitions a</w:t>
      </w:r>
      <w:r w:rsidR="00514F1B" w:rsidRPr="009845EB">
        <w:t xml:space="preserve">llocate two (2) blocks of five (5) training days </w:t>
      </w:r>
      <w:r w:rsidR="00514F1B" w:rsidRPr="00DA1936">
        <w:t>in the year preceding the Championships.</w:t>
      </w:r>
    </w:p>
    <w:p w:rsidR="00E1143F" w:rsidRPr="00DA1936" w:rsidRDefault="00514F1B" w:rsidP="009256C3">
      <w:pPr>
        <w:pStyle w:val="ListParagraph"/>
        <w:numPr>
          <w:ilvl w:val="0"/>
          <w:numId w:val="6"/>
        </w:numPr>
      </w:pPr>
      <w:r w:rsidRPr="00DA1936">
        <w:t xml:space="preserve">Provide training days over a seven (7) day period immediately preceding the </w:t>
      </w:r>
      <w:r w:rsidR="009845EB" w:rsidRPr="00DA1936">
        <w:t>World Championships</w:t>
      </w:r>
      <w:r w:rsidR="00E1143F" w:rsidRPr="00DA1936">
        <w:t xml:space="preserve"> first day </w:t>
      </w:r>
      <w:r w:rsidR="00AA1B59">
        <w:t xml:space="preserve">of </w:t>
      </w:r>
      <w:r w:rsidR="00E1143F" w:rsidRPr="00DA1936">
        <w:t xml:space="preserve">competition </w:t>
      </w:r>
      <w:r w:rsidR="00AA1B59">
        <w:t xml:space="preserve">and, over a </w:t>
      </w:r>
      <w:r w:rsidR="009845EB" w:rsidRPr="00DA1936">
        <w:t>three (3) day</w:t>
      </w:r>
      <w:r w:rsidR="00AA1B59">
        <w:t xml:space="preserve"> period </w:t>
      </w:r>
      <w:r w:rsidR="009845EB" w:rsidRPr="00DA1936">
        <w:t>immediately preceding the World Cups</w:t>
      </w:r>
      <w:r w:rsidR="00E1143F" w:rsidRPr="00DA1936">
        <w:t xml:space="preserve"> first day </w:t>
      </w:r>
      <w:r w:rsidR="00AA1B59">
        <w:t xml:space="preserve">of </w:t>
      </w:r>
      <w:r w:rsidR="00E1143F" w:rsidRPr="00DA1936">
        <w:t>competition</w:t>
      </w:r>
      <w:r w:rsidRPr="00DA1936">
        <w:t>.</w:t>
      </w:r>
    </w:p>
    <w:p w:rsidR="00514F1B" w:rsidRPr="009845EB" w:rsidRDefault="00514F1B" w:rsidP="009256C3">
      <w:pPr>
        <w:pStyle w:val="ListParagraph"/>
        <w:numPr>
          <w:ilvl w:val="0"/>
          <w:numId w:val="6"/>
        </w:numPr>
      </w:pPr>
      <w:r w:rsidRPr="00DA1936">
        <w:t>Be based on the official Entry List as generated through the ICF entry system. Reference and allocation should be base</w:t>
      </w:r>
      <w:r w:rsidR="00922812" w:rsidRPr="00DA1936">
        <w:t xml:space="preserve">d </w:t>
      </w:r>
      <w:r w:rsidR="00CD5857" w:rsidRPr="00DA1936">
        <w:t xml:space="preserve">on </w:t>
      </w:r>
      <w:r w:rsidR="00922812" w:rsidRPr="00DA1936">
        <w:t>the number of Nations entered and</w:t>
      </w:r>
      <w:r w:rsidRPr="00DA1936">
        <w:t xml:space="preserve"> the</w:t>
      </w:r>
      <w:r w:rsidRPr="00E1143F">
        <w:t xml:space="preserve"> number of boats per Nation</w:t>
      </w:r>
      <w:r w:rsidR="00922812" w:rsidRPr="00E1143F">
        <w:t>.</w:t>
      </w:r>
    </w:p>
    <w:p w:rsidR="00922812" w:rsidRPr="009845EB" w:rsidRDefault="00922812" w:rsidP="009256C3">
      <w:pPr>
        <w:pStyle w:val="ListParagraph"/>
        <w:numPr>
          <w:ilvl w:val="0"/>
          <w:numId w:val="6"/>
        </w:numPr>
      </w:pPr>
      <w:r w:rsidRPr="009845EB">
        <w:t>Be designed in consultation with the Venue to ensure Venue availability.</w:t>
      </w:r>
    </w:p>
    <w:p w:rsidR="00922812" w:rsidRDefault="00AA1B59" w:rsidP="009256C3">
      <w:pPr>
        <w:pStyle w:val="ListParagraph"/>
        <w:numPr>
          <w:ilvl w:val="0"/>
          <w:numId w:val="6"/>
        </w:numPr>
      </w:pPr>
      <w:r>
        <w:t>Allocate t</w:t>
      </w:r>
      <w:r w:rsidR="00922812" w:rsidRPr="009845EB">
        <w:t>ime slots allocated in one (1) hour training blocks normally over a time period from 8am to 6pm.</w:t>
      </w:r>
    </w:p>
    <w:p w:rsidR="009845EB" w:rsidRPr="009845EB" w:rsidRDefault="009845EB" w:rsidP="009256C3">
      <w:pPr>
        <w:pStyle w:val="ListParagraph"/>
        <w:numPr>
          <w:ilvl w:val="0"/>
          <w:numId w:val="6"/>
        </w:numPr>
      </w:pPr>
      <w:r>
        <w:t xml:space="preserve">Time slot for each NF to rotate </w:t>
      </w:r>
      <w:r w:rsidR="00AA1B59">
        <w:t xml:space="preserve">on </w:t>
      </w:r>
      <w:r>
        <w:t>each day of training, usually by one or two slots forward.</w:t>
      </w:r>
    </w:p>
    <w:p w:rsidR="00922812" w:rsidRPr="009845EB" w:rsidRDefault="00922812" w:rsidP="009256C3">
      <w:pPr>
        <w:pStyle w:val="ListParagraph"/>
        <w:numPr>
          <w:ilvl w:val="0"/>
          <w:numId w:val="6"/>
        </w:numPr>
      </w:pPr>
      <w:r w:rsidRPr="009845EB">
        <w:t>Numbers of boats per training block to be based on overall entries</w:t>
      </w:r>
      <w:r w:rsidR="00F0789F" w:rsidRPr="009845EB">
        <w:t xml:space="preserve"> and additional factors (eg. Course width or probability of excessive congestion)</w:t>
      </w:r>
      <w:r w:rsidRPr="009845EB">
        <w:t xml:space="preserve"> but ideally should total 25 – 30 boats per training block.</w:t>
      </w:r>
    </w:p>
    <w:p w:rsidR="00922812" w:rsidRPr="009845EB" w:rsidRDefault="00922812" w:rsidP="009256C3">
      <w:pPr>
        <w:pStyle w:val="ListParagraph"/>
        <w:numPr>
          <w:ilvl w:val="0"/>
          <w:numId w:val="6"/>
        </w:numPr>
      </w:pPr>
      <w:r w:rsidRPr="009845EB">
        <w:t xml:space="preserve">Provide additional free training blocks outside the </w:t>
      </w:r>
      <w:r w:rsidR="009845EB">
        <w:t xml:space="preserve">8am – 6pm </w:t>
      </w:r>
      <w:r w:rsidRPr="009845EB">
        <w:t xml:space="preserve">time period to facilitate additional </w:t>
      </w:r>
      <w:r w:rsidR="00F0789F" w:rsidRPr="009845EB">
        <w:t xml:space="preserve">individual </w:t>
      </w:r>
      <w:r w:rsidR="009845EB" w:rsidRPr="009845EB">
        <w:t>Athlete training (eg for Athletes doubling in events)</w:t>
      </w:r>
    </w:p>
    <w:p w:rsidR="00922812" w:rsidRPr="009845EB" w:rsidRDefault="00922812" w:rsidP="009256C3">
      <w:pPr>
        <w:pStyle w:val="ListParagraph"/>
        <w:numPr>
          <w:ilvl w:val="0"/>
          <w:numId w:val="6"/>
        </w:numPr>
      </w:pPr>
      <w:r w:rsidRPr="009845EB">
        <w:t>Consider the appropriate training block allocations for Nations with large number entries and distribute</w:t>
      </w:r>
      <w:r w:rsidR="00444832" w:rsidRPr="009845EB">
        <w:t xml:space="preserve"> as evenly as possible</w:t>
      </w:r>
      <w:r w:rsidRPr="009845EB">
        <w:t>.</w:t>
      </w:r>
    </w:p>
    <w:p w:rsidR="00922812" w:rsidRPr="009845EB" w:rsidRDefault="00922812" w:rsidP="009256C3">
      <w:pPr>
        <w:pStyle w:val="ListParagraph"/>
        <w:numPr>
          <w:ilvl w:val="0"/>
          <w:numId w:val="6"/>
        </w:numPr>
      </w:pPr>
      <w:r w:rsidRPr="009845EB">
        <w:t xml:space="preserve">Accommodate as much as possible the reasonable special requests of </w:t>
      </w:r>
      <w:r w:rsidR="00F0789F" w:rsidRPr="009845EB">
        <w:t xml:space="preserve">each </w:t>
      </w:r>
      <w:r w:rsidRPr="009845EB">
        <w:t>NF.</w:t>
      </w:r>
    </w:p>
    <w:p w:rsidR="00922812" w:rsidRPr="009845EB" w:rsidRDefault="005E70A5" w:rsidP="009256C3">
      <w:pPr>
        <w:pStyle w:val="ListParagraph"/>
        <w:numPr>
          <w:ilvl w:val="0"/>
          <w:numId w:val="6"/>
        </w:numPr>
      </w:pPr>
      <w:r w:rsidRPr="009845EB">
        <w:t>Water on days of t</w:t>
      </w:r>
      <w:r w:rsidR="00F0789F" w:rsidRPr="009845EB">
        <w:t>raining to be supplied under full race conditions.</w:t>
      </w:r>
    </w:p>
    <w:p w:rsidR="00F0789F" w:rsidRPr="009845EB" w:rsidRDefault="00F0789F" w:rsidP="009256C3">
      <w:pPr>
        <w:pStyle w:val="ListParagraph"/>
        <w:numPr>
          <w:ilvl w:val="0"/>
          <w:numId w:val="6"/>
        </w:numPr>
      </w:pPr>
      <w:r w:rsidRPr="009845EB">
        <w:t xml:space="preserve">All </w:t>
      </w:r>
      <w:r w:rsidR="005E70A5" w:rsidRPr="009845EB">
        <w:t>Athletes to wear b</w:t>
      </w:r>
      <w:r w:rsidRPr="009845EB">
        <w:t>ib numbers for identification and control.</w:t>
      </w:r>
    </w:p>
    <w:p w:rsidR="00113E55" w:rsidRPr="009845EB" w:rsidRDefault="00113E55" w:rsidP="00DA1936"/>
    <w:p w:rsidR="009845EB" w:rsidRPr="009845EB" w:rsidRDefault="009845EB" w:rsidP="00DA1936"/>
    <w:p w:rsidR="00F86016" w:rsidRPr="009256C3" w:rsidRDefault="00F86016" w:rsidP="00DA1936">
      <w:pPr>
        <w:rPr>
          <w:b/>
          <w:sz w:val="24"/>
          <w:szCs w:val="24"/>
        </w:rPr>
      </w:pPr>
      <w:r w:rsidRPr="009256C3">
        <w:rPr>
          <w:b/>
          <w:sz w:val="24"/>
          <w:szCs w:val="24"/>
        </w:rPr>
        <w:t>Publishing</w:t>
      </w:r>
    </w:p>
    <w:p w:rsidR="00F0789F" w:rsidRPr="009845EB" w:rsidRDefault="00007D80" w:rsidP="00DA1936">
      <w:r w:rsidRPr="009845EB">
        <w:t>A draft Training S</w:t>
      </w:r>
      <w:r w:rsidR="00F0789F" w:rsidRPr="009845EB">
        <w:t xml:space="preserve">chedule must be approved by the ICF and published </w:t>
      </w:r>
      <w:r w:rsidR="00CD5857" w:rsidRPr="009845EB">
        <w:t xml:space="preserve">by the HOC </w:t>
      </w:r>
      <w:r w:rsidR="00F0789F" w:rsidRPr="009845EB">
        <w:t xml:space="preserve">not less </w:t>
      </w:r>
      <w:r w:rsidR="00F0789F" w:rsidRPr="00733B12">
        <w:t>than two (2) weeks prior</w:t>
      </w:r>
      <w:r w:rsidR="00F0789F" w:rsidRPr="009845EB">
        <w:t xml:space="preserve"> to the commencement of training.</w:t>
      </w:r>
    </w:p>
    <w:p w:rsidR="00F0789F" w:rsidRPr="009845EB" w:rsidRDefault="00F0789F" w:rsidP="00DA1936">
      <w:r w:rsidRPr="009845EB">
        <w:t xml:space="preserve">The schedule should be placed on the Competition website and forwarded by email to each </w:t>
      </w:r>
      <w:r w:rsidR="009845EB" w:rsidRPr="009845EB">
        <w:t xml:space="preserve">participating </w:t>
      </w:r>
      <w:r w:rsidRPr="009845EB">
        <w:t>NF</w:t>
      </w:r>
      <w:r w:rsidR="00CD5857" w:rsidRPr="009845EB">
        <w:t>.</w:t>
      </w:r>
    </w:p>
    <w:p w:rsidR="00CD5857" w:rsidRPr="009845EB" w:rsidRDefault="00CD5857" w:rsidP="00DA1936">
      <w:r w:rsidRPr="009845EB">
        <w:t>Input and special requests from any NF may be made to the HOC with the final schedule being adopted and published prior to the first of</w:t>
      </w:r>
      <w:r w:rsidR="00007D80" w:rsidRPr="009845EB">
        <w:t>ficial training day. The final Training S</w:t>
      </w:r>
      <w:r w:rsidRPr="009845EB">
        <w:t xml:space="preserve">chedule should be placed on the </w:t>
      </w:r>
      <w:r w:rsidR="00733B12">
        <w:t xml:space="preserve">Event website, the General </w:t>
      </w:r>
      <w:r w:rsidRPr="009845EB">
        <w:t>Noticeboard</w:t>
      </w:r>
      <w:r w:rsidR="00444832" w:rsidRPr="009845EB">
        <w:t>,</w:t>
      </w:r>
      <w:r w:rsidRPr="009845EB">
        <w:t xml:space="preserve"> in the Athletes Area and </w:t>
      </w:r>
      <w:r w:rsidR="00444832" w:rsidRPr="009845EB">
        <w:t xml:space="preserve">the </w:t>
      </w:r>
      <w:r w:rsidRPr="009845EB">
        <w:t>Scoring Area.</w:t>
      </w:r>
    </w:p>
    <w:p w:rsidR="00113E55" w:rsidRPr="009845EB" w:rsidRDefault="00113E55" w:rsidP="00DA1936"/>
    <w:p w:rsidR="00F86016" w:rsidRPr="009845EB" w:rsidRDefault="00F86016" w:rsidP="00DA1936"/>
    <w:p w:rsidR="007F4EA5" w:rsidRPr="009256C3" w:rsidRDefault="007F4EA5" w:rsidP="00DA1936">
      <w:pPr>
        <w:rPr>
          <w:b/>
          <w:sz w:val="24"/>
          <w:szCs w:val="24"/>
          <w:lang w:val="en-US" w:eastAsia="cs-CZ"/>
        </w:rPr>
      </w:pPr>
      <w:r w:rsidRPr="009256C3">
        <w:rPr>
          <w:b/>
          <w:sz w:val="24"/>
          <w:szCs w:val="24"/>
          <w:lang w:val="en-US" w:eastAsia="cs-CZ"/>
        </w:rPr>
        <w:t>Flat</w:t>
      </w:r>
      <w:r w:rsidR="009256C3" w:rsidRPr="009256C3">
        <w:rPr>
          <w:b/>
          <w:sz w:val="24"/>
          <w:szCs w:val="24"/>
          <w:lang w:val="en-US" w:eastAsia="cs-CZ"/>
        </w:rPr>
        <w:t xml:space="preserve"> W</w:t>
      </w:r>
      <w:r w:rsidRPr="009256C3">
        <w:rPr>
          <w:b/>
          <w:sz w:val="24"/>
          <w:szCs w:val="24"/>
          <w:lang w:val="en-US" w:eastAsia="cs-CZ"/>
        </w:rPr>
        <w:t>ater Training Facilities</w:t>
      </w:r>
    </w:p>
    <w:p w:rsidR="007F4EA5" w:rsidRPr="009845EB" w:rsidRDefault="00CD5857" w:rsidP="00DA1936">
      <w:r w:rsidRPr="009845EB">
        <w:t xml:space="preserve">The HOC </w:t>
      </w:r>
      <w:r w:rsidR="009845EB" w:rsidRPr="009845EB">
        <w:t>must</w:t>
      </w:r>
      <w:r w:rsidRPr="009845EB">
        <w:t xml:space="preserve"> also provide</w:t>
      </w:r>
      <w:r w:rsidR="00444832" w:rsidRPr="009845EB">
        <w:t>, available</w:t>
      </w:r>
      <w:r w:rsidRPr="009845EB">
        <w:t xml:space="preserve"> to all Athletes</w:t>
      </w:r>
      <w:r w:rsidR="00444832" w:rsidRPr="009845EB">
        <w:t>,</w:t>
      </w:r>
      <w:r w:rsidRPr="009845EB">
        <w:t xml:space="preserve"> a gate system located in a suitable area of flat water.</w:t>
      </w:r>
    </w:p>
    <w:p w:rsidR="009256C3" w:rsidRDefault="009256C3">
      <w:pPr>
        <w:jc w:val="left"/>
      </w:pPr>
      <w:r>
        <w:br w:type="page"/>
      </w:r>
    </w:p>
    <w:p w:rsidR="00CD5857" w:rsidRPr="009845EB" w:rsidRDefault="00CD5857" w:rsidP="00DA1936"/>
    <w:p w:rsidR="00F86016" w:rsidRPr="009256C3" w:rsidRDefault="009256C3" w:rsidP="00DA1936">
      <w:pPr>
        <w:rPr>
          <w:b/>
          <w:sz w:val="24"/>
          <w:szCs w:val="24"/>
        </w:rPr>
      </w:pPr>
      <w:r w:rsidRPr="009256C3">
        <w:rPr>
          <w:b/>
          <w:sz w:val="24"/>
          <w:szCs w:val="24"/>
        </w:rPr>
        <w:t>Sample Official Tr</w:t>
      </w:r>
      <w:r w:rsidR="00F86016" w:rsidRPr="009256C3">
        <w:rPr>
          <w:b/>
          <w:sz w:val="24"/>
          <w:szCs w:val="24"/>
        </w:rPr>
        <w:t>aining schedule</w:t>
      </w:r>
    </w:p>
    <w:p w:rsidR="00DA1936" w:rsidRDefault="00DA1936" w:rsidP="00DA1936"/>
    <w:p w:rsidR="00DA1936" w:rsidRDefault="006B230B" w:rsidP="00DA1936"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69.25pt;margin-top:2.55pt;width:590.55pt;height:494.45pt;z-index:251658240" filled="t" stroked="t">
            <v:imagedata r:id="rId7" o:title=""/>
          </v:shape>
          <o:OLEObject Type="Embed" ProgID="AcroExch.Document.7" ShapeID="_x0000_s2051" DrawAspect="Content" ObjectID="_1351432404" r:id="rId8"/>
        </w:pict>
      </w:r>
    </w:p>
    <w:p w:rsidR="00E1143F" w:rsidRDefault="00E1143F" w:rsidP="00DA1936"/>
    <w:p w:rsidR="00E1143F" w:rsidRPr="009845EB" w:rsidRDefault="00E1143F" w:rsidP="00DA1936"/>
    <w:p w:rsidR="00765421" w:rsidRPr="009845EB" w:rsidRDefault="00765421" w:rsidP="00DA1936"/>
    <w:sectPr w:rsidR="00765421" w:rsidRPr="009845EB" w:rsidSect="00561D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33" w:rsidRDefault="00380C33" w:rsidP="00DA1936">
      <w:r>
        <w:separator/>
      </w:r>
    </w:p>
  </w:endnote>
  <w:endnote w:type="continuationSeparator" w:id="0">
    <w:p w:rsidR="00380C33" w:rsidRDefault="00380C33" w:rsidP="00DA1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2E786E" w:rsidP="00DA1936">
    <w:pPr>
      <w:pStyle w:val="Footer"/>
    </w:pPr>
    <w:r w:rsidRPr="002E786E">
      <w:rPr>
        <w:noProof/>
        <w:lang w:eastAsia="en-A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2022846</wp:posOffset>
          </wp:positionH>
          <wp:positionV relativeFrom="paragraph">
            <wp:posOffset>-176051</wp:posOffset>
          </wp:positionV>
          <wp:extent cx="1792498" cy="24154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11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6B7D0A" w:rsidP="00DA193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4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33" w:rsidRDefault="00380C33" w:rsidP="00DA1936">
      <w:r>
        <w:separator/>
      </w:r>
    </w:p>
  </w:footnote>
  <w:footnote w:type="continuationSeparator" w:id="0">
    <w:p w:rsidR="00380C33" w:rsidRDefault="00380C33" w:rsidP="00DA1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6E" w:rsidRDefault="002E786E" w:rsidP="00DA1936">
    <w:r>
      <w:t xml:space="preserve">                                                         </w:t>
    </w:r>
    <w:r w:rsidR="006B7D0A">
      <w:rPr>
        <w:noProof/>
        <w:lang w:eastAsia="en-AU"/>
      </w:rPr>
      <w:drawing>
        <wp:inline distT="0" distB="0" distL="0" distR="0">
          <wp:extent cx="1250950" cy="733425"/>
          <wp:effectExtent l="19050" t="0" r="6350" b="0"/>
          <wp:docPr id="1" name="Pictur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</w:t>
        </w:r>
        <w:r w:rsidRPr="002E786E">
          <w:rPr>
            <w:color w:val="8DB3E2" w:themeColor="text2" w:themeTint="66"/>
            <w:sz w:val="16"/>
            <w:szCs w:val="16"/>
          </w:rPr>
          <w:t xml:space="preserve">Page </w:t>
        </w:r>
        <w:r w:rsidR="006B230B" w:rsidRPr="002E786E">
          <w:rPr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color w:val="8DB3E2" w:themeColor="text2" w:themeTint="66"/>
            <w:sz w:val="16"/>
            <w:szCs w:val="16"/>
          </w:rPr>
          <w:instrText xml:space="preserve"> PAGE </w:instrText>
        </w:r>
        <w:r w:rsidR="006B230B" w:rsidRPr="002E786E">
          <w:rPr>
            <w:color w:val="8DB3E2" w:themeColor="text2" w:themeTint="66"/>
            <w:sz w:val="16"/>
            <w:szCs w:val="16"/>
          </w:rPr>
          <w:fldChar w:fldCharType="separate"/>
        </w:r>
        <w:r w:rsidR="00AA1B59">
          <w:rPr>
            <w:noProof/>
            <w:color w:val="8DB3E2" w:themeColor="text2" w:themeTint="66"/>
            <w:sz w:val="16"/>
            <w:szCs w:val="16"/>
          </w:rPr>
          <w:t>2</w:t>
        </w:r>
        <w:r w:rsidR="006B230B" w:rsidRPr="002E786E">
          <w:rPr>
            <w:color w:val="8DB3E2" w:themeColor="text2" w:themeTint="66"/>
            <w:sz w:val="16"/>
            <w:szCs w:val="16"/>
          </w:rPr>
          <w:fldChar w:fldCharType="end"/>
        </w:r>
        <w:r w:rsidRPr="002E786E">
          <w:rPr>
            <w:color w:val="8DB3E2" w:themeColor="text2" w:themeTint="66"/>
            <w:sz w:val="16"/>
            <w:szCs w:val="16"/>
          </w:rPr>
          <w:t xml:space="preserve"> of </w:t>
        </w:r>
        <w:r w:rsidR="006B230B" w:rsidRPr="002E786E">
          <w:rPr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color w:val="8DB3E2" w:themeColor="text2" w:themeTint="66"/>
            <w:sz w:val="16"/>
            <w:szCs w:val="16"/>
          </w:rPr>
          <w:instrText xml:space="preserve"> NUMPAGES  </w:instrText>
        </w:r>
        <w:r w:rsidR="006B230B" w:rsidRPr="002E786E">
          <w:rPr>
            <w:color w:val="8DB3E2" w:themeColor="text2" w:themeTint="66"/>
            <w:sz w:val="16"/>
            <w:szCs w:val="16"/>
          </w:rPr>
          <w:fldChar w:fldCharType="separate"/>
        </w:r>
        <w:r w:rsidR="00AA1B59">
          <w:rPr>
            <w:noProof/>
            <w:color w:val="8DB3E2" w:themeColor="text2" w:themeTint="66"/>
            <w:sz w:val="16"/>
            <w:szCs w:val="16"/>
          </w:rPr>
          <w:t>2</w:t>
        </w:r>
        <w:r w:rsidR="006B230B" w:rsidRPr="002E786E">
          <w:rPr>
            <w:color w:val="8DB3E2" w:themeColor="text2" w:themeTint="66"/>
            <w:sz w:val="16"/>
            <w:szCs w:val="16"/>
          </w:rPr>
          <w:fldChar w:fldCharType="end"/>
        </w:r>
      </w:sdtContent>
    </w:sdt>
  </w:p>
  <w:p w:rsidR="00EC23A3" w:rsidRPr="009657BA" w:rsidRDefault="00EC23A3" w:rsidP="00DA19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Pr="00E17D8B" w:rsidRDefault="006B230B" w:rsidP="00DA1936">
    <w:pPr>
      <w:pStyle w:val="Header"/>
      <w:rPr>
        <w:lang w:val="en-GB"/>
      </w:rPr>
    </w:pPr>
    <w:r w:rsidRPr="006B230B">
      <w:rPr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17.1pt;margin-top:13.6pt;width:279.3pt;height:78.3pt;z-index:251657728;mso-width-relative:margin;mso-height-relative:margin" filled="f" stroked="f">
          <v:textbox>
            <w:txbxContent>
              <w:p w:rsidR="009256C3" w:rsidRDefault="009256C3" w:rsidP="009256C3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ICF Canoe Slalom Technical Committee</w:t>
                </w:r>
              </w:p>
              <w:p w:rsidR="009256C3" w:rsidRDefault="009256C3" w:rsidP="009256C3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Event Requirements</w:t>
                </w:r>
              </w:p>
              <w:p w:rsidR="009256C3" w:rsidRDefault="009256C3" w:rsidP="009256C3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Version 1, November 2010</w:t>
                </w:r>
              </w:p>
              <w:p w:rsidR="009256C3" w:rsidRDefault="009256C3" w:rsidP="009256C3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Document uncontrolled when printed</w:t>
                </w:r>
              </w:p>
              <w:p w:rsidR="009256C3" w:rsidRDefault="009256C3" w:rsidP="009256C3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Refer to ICF CSL website for most current version</w:t>
                </w:r>
              </w:p>
              <w:p w:rsidR="002E786E" w:rsidRPr="00E1143F" w:rsidRDefault="002E786E" w:rsidP="00DA1936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6B7D0A"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3" name="Pictur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BA6"/>
    <w:multiLevelType w:val="hybridMultilevel"/>
    <w:tmpl w:val="ED5C6E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4D62"/>
    <w:multiLevelType w:val="hybridMultilevel"/>
    <w:tmpl w:val="DE1EE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5818"/>
    <w:multiLevelType w:val="hybridMultilevel"/>
    <w:tmpl w:val="BE5A0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A2BD0"/>
    <w:multiLevelType w:val="hybridMultilevel"/>
    <w:tmpl w:val="31C0F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C03E6"/>
    <w:multiLevelType w:val="hybridMultilevel"/>
    <w:tmpl w:val="6E089E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C0147"/>
    <w:multiLevelType w:val="hybridMultilevel"/>
    <w:tmpl w:val="44E6AC2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4E93"/>
    <w:rsid w:val="000034C6"/>
    <w:rsid w:val="00007D80"/>
    <w:rsid w:val="00011524"/>
    <w:rsid w:val="00034E93"/>
    <w:rsid w:val="00065026"/>
    <w:rsid w:val="00073003"/>
    <w:rsid w:val="00073843"/>
    <w:rsid w:val="00096F3C"/>
    <w:rsid w:val="000D20C3"/>
    <w:rsid w:val="00113E55"/>
    <w:rsid w:val="00174DE5"/>
    <w:rsid w:val="00187466"/>
    <w:rsid w:val="001D3D0E"/>
    <w:rsid w:val="002303CC"/>
    <w:rsid w:val="002336E0"/>
    <w:rsid w:val="00240887"/>
    <w:rsid w:val="00260882"/>
    <w:rsid w:val="00286EFF"/>
    <w:rsid w:val="002B7335"/>
    <w:rsid w:val="002E6661"/>
    <w:rsid w:val="002E786E"/>
    <w:rsid w:val="0033274D"/>
    <w:rsid w:val="0034699C"/>
    <w:rsid w:val="00380C33"/>
    <w:rsid w:val="00444832"/>
    <w:rsid w:val="00447632"/>
    <w:rsid w:val="004E61EE"/>
    <w:rsid w:val="00514F1B"/>
    <w:rsid w:val="0053474E"/>
    <w:rsid w:val="0054259B"/>
    <w:rsid w:val="00561DF5"/>
    <w:rsid w:val="005A1ADB"/>
    <w:rsid w:val="005A5112"/>
    <w:rsid w:val="005D6B3E"/>
    <w:rsid w:val="005E70A5"/>
    <w:rsid w:val="006063EA"/>
    <w:rsid w:val="006206C0"/>
    <w:rsid w:val="0062591D"/>
    <w:rsid w:val="0065713B"/>
    <w:rsid w:val="00675D48"/>
    <w:rsid w:val="006A60DC"/>
    <w:rsid w:val="006B230B"/>
    <w:rsid w:val="006B7D0A"/>
    <w:rsid w:val="006C132F"/>
    <w:rsid w:val="006C4B61"/>
    <w:rsid w:val="006E36DC"/>
    <w:rsid w:val="006F3569"/>
    <w:rsid w:val="00733B12"/>
    <w:rsid w:val="00765421"/>
    <w:rsid w:val="007911A3"/>
    <w:rsid w:val="007C3916"/>
    <w:rsid w:val="007E0F8D"/>
    <w:rsid w:val="007F4EA5"/>
    <w:rsid w:val="00821994"/>
    <w:rsid w:val="00863186"/>
    <w:rsid w:val="00885012"/>
    <w:rsid w:val="008A680F"/>
    <w:rsid w:val="008C5829"/>
    <w:rsid w:val="008F19C7"/>
    <w:rsid w:val="00922812"/>
    <w:rsid w:val="009256C3"/>
    <w:rsid w:val="009706DD"/>
    <w:rsid w:val="009845EB"/>
    <w:rsid w:val="00985C43"/>
    <w:rsid w:val="009B290D"/>
    <w:rsid w:val="00A76D95"/>
    <w:rsid w:val="00AA1B59"/>
    <w:rsid w:val="00B3706C"/>
    <w:rsid w:val="00B50B4D"/>
    <w:rsid w:val="00B73EF1"/>
    <w:rsid w:val="00B76438"/>
    <w:rsid w:val="00B852AE"/>
    <w:rsid w:val="00C14362"/>
    <w:rsid w:val="00C20CA7"/>
    <w:rsid w:val="00C54582"/>
    <w:rsid w:val="00C73C79"/>
    <w:rsid w:val="00CA51D0"/>
    <w:rsid w:val="00CC0D55"/>
    <w:rsid w:val="00CD02A7"/>
    <w:rsid w:val="00CD5857"/>
    <w:rsid w:val="00D25ABB"/>
    <w:rsid w:val="00D40DF0"/>
    <w:rsid w:val="00D70CEE"/>
    <w:rsid w:val="00DA1936"/>
    <w:rsid w:val="00DC2890"/>
    <w:rsid w:val="00DD218F"/>
    <w:rsid w:val="00DE5048"/>
    <w:rsid w:val="00E1143F"/>
    <w:rsid w:val="00E24E7A"/>
    <w:rsid w:val="00E7050F"/>
    <w:rsid w:val="00E758DE"/>
    <w:rsid w:val="00EC23A3"/>
    <w:rsid w:val="00EC6A97"/>
    <w:rsid w:val="00ED37DE"/>
    <w:rsid w:val="00F0789F"/>
    <w:rsid w:val="00F16A07"/>
    <w:rsid w:val="00F33AE1"/>
    <w:rsid w:val="00F81327"/>
    <w:rsid w:val="00F86016"/>
    <w:rsid w:val="00F955B4"/>
    <w:rsid w:val="00FC18A4"/>
    <w:rsid w:val="00FC67E2"/>
    <w:rsid w:val="00FE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36"/>
    <w:pPr>
      <w:jc w:val="both"/>
    </w:pPr>
    <w:rPr>
      <w:rFonts w:ascii="Arial" w:eastAsia="Times New Roman" w:hAnsi="Arial" w:cs="Arial"/>
      <w:sz w:val="22"/>
      <w:szCs w:val="22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E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qFormat/>
    <w:rsid w:val="00FC67E2"/>
    <w:pPr>
      <w:keepNext/>
      <w:tabs>
        <w:tab w:val="left" w:pos="144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304" w:hanging="2160"/>
      <w:outlineLvl w:val="2"/>
    </w:pPr>
    <w:rPr>
      <w:sz w:val="30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rPr>
      <w:sz w:val="20"/>
      <w:szCs w:val="20"/>
      <w:lang w:val="de-DE" w:eastAsia="en-US"/>
    </w:rPr>
  </w:style>
  <w:style w:type="paragraph" w:styleId="ListParagraph">
    <w:name w:val="List Paragraph"/>
    <w:basedOn w:val="Normal"/>
    <w:uiPriority w:val="34"/>
    <w:qFormat/>
    <w:rsid w:val="009706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C67E2"/>
    <w:rPr>
      <w:rFonts w:ascii="Times New Roman" w:eastAsia="Times New Roman" w:hAnsi="Times New Roman"/>
      <w:sz w:val="30"/>
      <w:lang w:val="es-ES_tradnl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34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34C6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7F4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  <w:style w:type="paragraph" w:customStyle="1" w:styleId="Para">
    <w:name w:val="Para"/>
    <w:basedOn w:val="Normal"/>
    <w:rsid w:val="007F4EA5"/>
    <w:pPr>
      <w:spacing w:after="240"/>
      <w:ind w:left="851"/>
    </w:pPr>
    <w:rPr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Natoli\Documents\A%20Slalom%20Stuff\AA%20ICF%20Slalom%20Committee\logo%20&amp;%20Letterhead%20etc\Event%20%20manu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 manual Template (2).dotx</Template>
  <TotalTime>21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icf</Company>
  <LinksUpToDate>false</LinksUpToDate>
  <CharactersWithSpaces>2556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http://www.canoeicf.com/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Natoli</dc:creator>
  <cp:lastModifiedBy>Sue Natoli</cp:lastModifiedBy>
  <cp:revision>4</cp:revision>
  <cp:lastPrinted>2009-12-09T01:21:00Z</cp:lastPrinted>
  <dcterms:created xsi:type="dcterms:W3CDTF">2010-11-15T10:39:00Z</dcterms:created>
  <dcterms:modified xsi:type="dcterms:W3CDTF">2010-11-16T06:07:00Z</dcterms:modified>
</cp:coreProperties>
</file>